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CF0B" w14:textId="77777777" w:rsidR="00890F46" w:rsidRPr="005662D7" w:rsidRDefault="009B0228" w:rsidP="009B0228">
      <w:pPr>
        <w:jc w:val="center"/>
        <w:rPr>
          <w:b/>
          <w:sz w:val="28"/>
          <w:szCs w:val="28"/>
        </w:rPr>
      </w:pPr>
      <w:r w:rsidRPr="005662D7">
        <w:rPr>
          <w:b/>
          <w:sz w:val="28"/>
          <w:szCs w:val="28"/>
        </w:rPr>
        <w:t xml:space="preserve">Annual </w:t>
      </w:r>
      <w:r w:rsidR="00FF635E" w:rsidRPr="005662D7">
        <w:rPr>
          <w:b/>
          <w:sz w:val="28"/>
          <w:szCs w:val="28"/>
        </w:rPr>
        <w:t>Assessment Report from Administrative Departments</w:t>
      </w:r>
      <w:r w:rsidRPr="005662D7">
        <w:rPr>
          <w:b/>
          <w:sz w:val="28"/>
          <w:szCs w:val="28"/>
        </w:rPr>
        <w:t xml:space="preserve"> </w:t>
      </w:r>
    </w:p>
    <w:p w14:paraId="3F0286C7" w14:textId="77777777" w:rsidR="005662D7" w:rsidRPr="005662D7" w:rsidRDefault="005662D7" w:rsidP="005662D7">
      <w:pPr>
        <w:rPr>
          <w:sz w:val="24"/>
          <w:szCs w:val="24"/>
        </w:rPr>
      </w:pPr>
    </w:p>
    <w:tbl>
      <w:tblPr>
        <w:tblStyle w:val="TableGrid"/>
        <w:tblW w:w="13950" w:type="dxa"/>
        <w:tblInd w:w="-725" w:type="dxa"/>
        <w:tblLook w:val="04A0" w:firstRow="1" w:lastRow="0" w:firstColumn="1" w:lastColumn="0" w:noHBand="0" w:noVBand="1"/>
      </w:tblPr>
      <w:tblGrid>
        <w:gridCol w:w="2430"/>
        <w:gridCol w:w="3060"/>
        <w:gridCol w:w="3060"/>
        <w:gridCol w:w="2790"/>
        <w:gridCol w:w="2610"/>
      </w:tblGrid>
      <w:tr w:rsidR="009B0228" w14:paraId="41E90453" w14:textId="77777777" w:rsidTr="008C30CD">
        <w:tc>
          <w:tcPr>
            <w:tcW w:w="2430" w:type="dxa"/>
            <w:shd w:val="clear" w:color="auto" w:fill="9CC2E5" w:themeFill="accent1" w:themeFillTint="99"/>
          </w:tcPr>
          <w:p w14:paraId="5EF95975" w14:textId="77777777" w:rsidR="009B0228" w:rsidRPr="005662D7" w:rsidRDefault="009B0228" w:rsidP="009B0228">
            <w:pPr>
              <w:jc w:val="center"/>
              <w:rPr>
                <w:b/>
                <w:sz w:val="28"/>
                <w:szCs w:val="28"/>
              </w:rPr>
            </w:pPr>
            <w:r w:rsidRPr="005662D7">
              <w:rPr>
                <w:b/>
                <w:sz w:val="28"/>
                <w:szCs w:val="28"/>
              </w:rPr>
              <w:t>ELEMENT</w:t>
            </w:r>
          </w:p>
        </w:tc>
        <w:tc>
          <w:tcPr>
            <w:tcW w:w="3060" w:type="dxa"/>
            <w:shd w:val="clear" w:color="auto" w:fill="9CC2E5" w:themeFill="accent1" w:themeFillTint="99"/>
          </w:tcPr>
          <w:p w14:paraId="1EE9BD31" w14:textId="77777777" w:rsidR="009B0228" w:rsidRPr="005662D7" w:rsidRDefault="009B0228" w:rsidP="009B0228">
            <w:pPr>
              <w:jc w:val="center"/>
              <w:rPr>
                <w:b/>
                <w:sz w:val="28"/>
                <w:szCs w:val="28"/>
              </w:rPr>
            </w:pPr>
            <w:r w:rsidRPr="005662D7">
              <w:rPr>
                <w:b/>
                <w:sz w:val="28"/>
                <w:szCs w:val="28"/>
              </w:rPr>
              <w:t>Exemplary</w:t>
            </w:r>
          </w:p>
        </w:tc>
        <w:tc>
          <w:tcPr>
            <w:tcW w:w="3060" w:type="dxa"/>
            <w:shd w:val="clear" w:color="auto" w:fill="9CC2E5" w:themeFill="accent1" w:themeFillTint="99"/>
          </w:tcPr>
          <w:p w14:paraId="080BB28F" w14:textId="77777777" w:rsidR="009B0228" w:rsidRPr="005662D7" w:rsidRDefault="009B0228" w:rsidP="009B0228">
            <w:pPr>
              <w:jc w:val="center"/>
              <w:rPr>
                <w:b/>
                <w:sz w:val="28"/>
                <w:szCs w:val="28"/>
              </w:rPr>
            </w:pPr>
            <w:r w:rsidRPr="005662D7">
              <w:rPr>
                <w:b/>
                <w:sz w:val="28"/>
                <w:szCs w:val="28"/>
              </w:rPr>
              <w:t>Established</w:t>
            </w:r>
          </w:p>
        </w:tc>
        <w:tc>
          <w:tcPr>
            <w:tcW w:w="2790" w:type="dxa"/>
            <w:shd w:val="clear" w:color="auto" w:fill="9CC2E5" w:themeFill="accent1" w:themeFillTint="99"/>
          </w:tcPr>
          <w:p w14:paraId="43CDBC70" w14:textId="77777777" w:rsidR="009B0228" w:rsidRPr="005662D7" w:rsidRDefault="009B0228" w:rsidP="009B0228">
            <w:pPr>
              <w:jc w:val="center"/>
              <w:rPr>
                <w:b/>
                <w:sz w:val="28"/>
                <w:szCs w:val="28"/>
              </w:rPr>
            </w:pPr>
            <w:r w:rsidRPr="005662D7">
              <w:rPr>
                <w:b/>
                <w:sz w:val="28"/>
                <w:szCs w:val="28"/>
              </w:rPr>
              <w:t>Developing</w:t>
            </w:r>
          </w:p>
        </w:tc>
        <w:tc>
          <w:tcPr>
            <w:tcW w:w="2610" w:type="dxa"/>
            <w:shd w:val="clear" w:color="auto" w:fill="9CC2E5" w:themeFill="accent1" w:themeFillTint="99"/>
          </w:tcPr>
          <w:p w14:paraId="46C30022" w14:textId="77777777" w:rsidR="009B0228" w:rsidRPr="005662D7" w:rsidRDefault="0031680B" w:rsidP="0031680B">
            <w:pPr>
              <w:jc w:val="center"/>
              <w:rPr>
                <w:b/>
                <w:sz w:val="28"/>
                <w:szCs w:val="28"/>
              </w:rPr>
            </w:pPr>
            <w:r w:rsidRPr="005662D7">
              <w:rPr>
                <w:b/>
                <w:sz w:val="28"/>
                <w:szCs w:val="28"/>
              </w:rPr>
              <w:t xml:space="preserve">No Evidence </w:t>
            </w:r>
          </w:p>
        </w:tc>
      </w:tr>
      <w:tr w:rsidR="00215E5B" w14:paraId="11B3424D" w14:textId="77777777" w:rsidTr="007B6C4D">
        <w:tc>
          <w:tcPr>
            <w:tcW w:w="2430" w:type="dxa"/>
            <w:vMerge w:val="restart"/>
            <w:shd w:val="clear" w:color="auto" w:fill="FFFFFF" w:themeFill="background1"/>
          </w:tcPr>
          <w:p w14:paraId="2357B42E" w14:textId="77777777" w:rsidR="00215E5B" w:rsidRPr="00CD3381" w:rsidRDefault="00215E5B" w:rsidP="00215E5B">
            <w:pPr>
              <w:rPr>
                <w:b/>
                <w:sz w:val="24"/>
                <w:szCs w:val="24"/>
              </w:rPr>
            </w:pPr>
            <w:r w:rsidRPr="00CD3381">
              <w:rPr>
                <w:b/>
                <w:sz w:val="24"/>
                <w:szCs w:val="24"/>
              </w:rPr>
              <w:t>Mission</w:t>
            </w:r>
          </w:p>
        </w:tc>
        <w:tc>
          <w:tcPr>
            <w:tcW w:w="3060" w:type="dxa"/>
            <w:shd w:val="clear" w:color="auto" w:fill="auto"/>
          </w:tcPr>
          <w:p w14:paraId="7A3B0EF6" w14:textId="77777777" w:rsidR="00215E5B" w:rsidRDefault="00215E5B" w:rsidP="00215E5B">
            <w:pPr>
              <w:rPr>
                <w:sz w:val="20"/>
                <w:szCs w:val="20"/>
              </w:rPr>
            </w:pPr>
            <w:r>
              <w:rPr>
                <w:sz w:val="20"/>
                <w:szCs w:val="20"/>
              </w:rPr>
              <w:t>Clearly and concisely i</w:t>
            </w:r>
            <w:r w:rsidRPr="005662D7">
              <w:rPr>
                <w:sz w:val="20"/>
                <w:szCs w:val="20"/>
              </w:rPr>
              <w:t>dentifies purpose, primar</w:t>
            </w:r>
            <w:r>
              <w:rPr>
                <w:sz w:val="20"/>
                <w:szCs w:val="20"/>
              </w:rPr>
              <w:t xml:space="preserve">y functions, and stakeholders. Describes a purpose that distinguishes it from other departments or units at the University. Reflects the </w:t>
            </w:r>
          </w:p>
          <w:p w14:paraId="25770FA1" w14:textId="46B9E1EC" w:rsidR="00215E5B" w:rsidRPr="005662D7" w:rsidRDefault="00215E5B" w:rsidP="00215E5B">
            <w:pPr>
              <w:rPr>
                <w:sz w:val="20"/>
                <w:szCs w:val="20"/>
              </w:rPr>
            </w:pPr>
            <w:r>
              <w:rPr>
                <w:sz w:val="20"/>
                <w:szCs w:val="20"/>
              </w:rPr>
              <w:t>University ’s mission.</w:t>
            </w:r>
          </w:p>
        </w:tc>
        <w:tc>
          <w:tcPr>
            <w:tcW w:w="3060" w:type="dxa"/>
          </w:tcPr>
          <w:p w14:paraId="639F5726" w14:textId="641D0834" w:rsidR="00215E5B" w:rsidRPr="009B0228" w:rsidRDefault="00215E5B" w:rsidP="00215E5B">
            <w:pPr>
              <w:rPr>
                <w:sz w:val="20"/>
                <w:szCs w:val="20"/>
              </w:rPr>
            </w:pPr>
            <w:r>
              <w:rPr>
                <w:sz w:val="20"/>
                <w:szCs w:val="20"/>
              </w:rPr>
              <w:t xml:space="preserve">Clearly states broad aspects of the department’s function.  Alignment with the University ’s mission may be inferred.  Identifies key stakeholders. </w:t>
            </w:r>
          </w:p>
        </w:tc>
        <w:tc>
          <w:tcPr>
            <w:tcW w:w="2790" w:type="dxa"/>
          </w:tcPr>
          <w:p w14:paraId="72DF2777" w14:textId="48D09B31" w:rsidR="00215E5B" w:rsidRPr="009B0228" w:rsidRDefault="00215E5B" w:rsidP="00215E5B">
            <w:pPr>
              <w:rPr>
                <w:sz w:val="20"/>
                <w:szCs w:val="20"/>
              </w:rPr>
            </w:pPr>
            <w:r>
              <w:rPr>
                <w:sz w:val="20"/>
                <w:szCs w:val="20"/>
              </w:rPr>
              <w:t xml:space="preserve">Provides a general statement or list of the department’s work but does not clearly describe the department’s purpose. Does not identify stakeholders.  Does not provide a clear sense of how the mission aligns with the University ’s mission.  </w:t>
            </w:r>
          </w:p>
        </w:tc>
        <w:tc>
          <w:tcPr>
            <w:tcW w:w="2610" w:type="dxa"/>
          </w:tcPr>
          <w:p w14:paraId="75F9F830" w14:textId="05DE7AA6" w:rsidR="00215E5B" w:rsidRPr="009B0228" w:rsidRDefault="00215E5B" w:rsidP="00215E5B">
            <w:pPr>
              <w:rPr>
                <w:sz w:val="20"/>
                <w:szCs w:val="20"/>
              </w:rPr>
            </w:pPr>
            <w:r>
              <w:rPr>
                <w:sz w:val="20"/>
                <w:szCs w:val="20"/>
              </w:rPr>
              <w:t xml:space="preserve">No formal mission statement on file or the statement does not clearly identify the unit’s purpose. </w:t>
            </w:r>
          </w:p>
        </w:tc>
      </w:tr>
      <w:tr w:rsidR="00215E5B" w14:paraId="4372294D" w14:textId="77777777" w:rsidTr="002D0F8D">
        <w:trPr>
          <w:trHeight w:val="1475"/>
        </w:trPr>
        <w:tc>
          <w:tcPr>
            <w:tcW w:w="2430" w:type="dxa"/>
            <w:vMerge/>
            <w:shd w:val="clear" w:color="auto" w:fill="FFFFFF" w:themeFill="background1"/>
          </w:tcPr>
          <w:p w14:paraId="25033700" w14:textId="77777777" w:rsidR="00215E5B" w:rsidRPr="00CD3381" w:rsidRDefault="00215E5B" w:rsidP="00215E5B">
            <w:pPr>
              <w:rPr>
                <w:b/>
                <w:sz w:val="24"/>
                <w:szCs w:val="24"/>
              </w:rPr>
            </w:pPr>
          </w:p>
        </w:tc>
        <w:tc>
          <w:tcPr>
            <w:tcW w:w="11520" w:type="dxa"/>
            <w:gridSpan w:val="4"/>
          </w:tcPr>
          <w:p w14:paraId="0761C93B" w14:textId="77777777" w:rsidR="00215E5B" w:rsidRDefault="00215E5B" w:rsidP="00215E5B">
            <w:pPr>
              <w:rPr>
                <w:b/>
                <w:sz w:val="20"/>
                <w:szCs w:val="20"/>
                <w:u w:val="single"/>
              </w:rPr>
            </w:pPr>
            <w:r>
              <w:rPr>
                <w:b/>
                <w:sz w:val="20"/>
                <w:szCs w:val="20"/>
                <w:u w:val="single"/>
              </w:rPr>
              <w:t>Comments:</w:t>
            </w:r>
          </w:p>
          <w:p w14:paraId="4D7181D3" w14:textId="77777777" w:rsidR="00215E5B" w:rsidRDefault="00215E5B" w:rsidP="00215E5B">
            <w:pPr>
              <w:rPr>
                <w:b/>
                <w:sz w:val="20"/>
                <w:szCs w:val="20"/>
                <w:u w:val="single"/>
              </w:rPr>
            </w:pPr>
          </w:p>
          <w:p w14:paraId="2ED32D08" w14:textId="77777777" w:rsidR="00215E5B" w:rsidRDefault="00215E5B" w:rsidP="00215E5B">
            <w:pPr>
              <w:rPr>
                <w:b/>
                <w:sz w:val="20"/>
                <w:szCs w:val="20"/>
                <w:u w:val="single"/>
              </w:rPr>
            </w:pPr>
          </w:p>
          <w:p w14:paraId="7673618C" w14:textId="77777777" w:rsidR="00215E5B" w:rsidRPr="008C30CD" w:rsidRDefault="00215E5B" w:rsidP="00215E5B">
            <w:pPr>
              <w:rPr>
                <w:b/>
                <w:sz w:val="20"/>
                <w:szCs w:val="20"/>
                <w:u w:val="single"/>
              </w:rPr>
            </w:pPr>
          </w:p>
        </w:tc>
      </w:tr>
      <w:tr w:rsidR="00215E5B" w14:paraId="49AC2931" w14:textId="77777777" w:rsidTr="00FD6E10">
        <w:tc>
          <w:tcPr>
            <w:tcW w:w="2430" w:type="dxa"/>
            <w:vMerge w:val="restart"/>
            <w:shd w:val="clear" w:color="auto" w:fill="FFFFFF" w:themeFill="background1"/>
          </w:tcPr>
          <w:p w14:paraId="0DA7491D" w14:textId="133125CE" w:rsidR="00215E5B" w:rsidRPr="00CD3381" w:rsidRDefault="00215E5B" w:rsidP="00215E5B">
            <w:pPr>
              <w:rPr>
                <w:b/>
                <w:sz w:val="24"/>
                <w:szCs w:val="24"/>
              </w:rPr>
            </w:pPr>
            <w:r w:rsidRPr="00CD3381">
              <w:rPr>
                <w:b/>
                <w:sz w:val="24"/>
                <w:szCs w:val="24"/>
              </w:rPr>
              <w:t>Implemented Improvements</w:t>
            </w:r>
            <w:r>
              <w:rPr>
                <w:b/>
                <w:sz w:val="24"/>
                <w:szCs w:val="24"/>
              </w:rPr>
              <w:t xml:space="preserve"> Based on Previous Reviewers’ Feedback</w:t>
            </w:r>
          </w:p>
        </w:tc>
        <w:tc>
          <w:tcPr>
            <w:tcW w:w="3060" w:type="dxa"/>
            <w:shd w:val="clear" w:color="auto" w:fill="auto"/>
          </w:tcPr>
          <w:p w14:paraId="65ACA4B7" w14:textId="3B838024" w:rsidR="00215E5B" w:rsidRPr="009B0228" w:rsidRDefault="00215E5B" w:rsidP="00215E5B">
            <w:pPr>
              <w:rPr>
                <w:sz w:val="20"/>
                <w:szCs w:val="20"/>
              </w:rPr>
            </w:pPr>
            <w:r>
              <w:rPr>
                <w:sz w:val="20"/>
                <w:szCs w:val="20"/>
              </w:rPr>
              <w:t xml:space="preserve">Provides clear and concrete evidence of how improvements from the previous assessment review were implemented.  Documents that appropriate actions were addressed.  </w:t>
            </w:r>
          </w:p>
        </w:tc>
        <w:tc>
          <w:tcPr>
            <w:tcW w:w="3060" w:type="dxa"/>
            <w:shd w:val="clear" w:color="auto" w:fill="FFFFFF" w:themeFill="background1"/>
          </w:tcPr>
          <w:p w14:paraId="2B37EFC0" w14:textId="3ED7BFD1" w:rsidR="00215E5B" w:rsidRPr="009B0228" w:rsidRDefault="00215E5B" w:rsidP="00215E5B">
            <w:pPr>
              <w:rPr>
                <w:sz w:val="20"/>
                <w:szCs w:val="20"/>
              </w:rPr>
            </w:pPr>
            <w:r w:rsidRPr="00FD6E10">
              <w:rPr>
                <w:sz w:val="20"/>
                <w:szCs w:val="20"/>
              </w:rPr>
              <w:t xml:space="preserve">Some but not </w:t>
            </w:r>
            <w:proofErr w:type="gramStart"/>
            <w:r w:rsidRPr="00FD6E10">
              <w:rPr>
                <w:sz w:val="20"/>
                <w:szCs w:val="20"/>
              </w:rPr>
              <w:t>all of</w:t>
            </w:r>
            <w:proofErr w:type="gramEnd"/>
            <w:r w:rsidRPr="00FD6E10">
              <w:rPr>
                <w:sz w:val="20"/>
                <w:szCs w:val="20"/>
              </w:rPr>
              <w:t xml:space="preserve"> the recommendations for improving the department’s assessment process were also implemented.</w:t>
            </w:r>
            <w:r w:rsidRPr="00573EDD">
              <w:rPr>
                <w:b/>
                <w:sz w:val="20"/>
                <w:szCs w:val="20"/>
              </w:rPr>
              <w:t xml:space="preserve"> </w:t>
            </w:r>
            <w:r>
              <w:rPr>
                <w:sz w:val="20"/>
                <w:szCs w:val="20"/>
              </w:rPr>
              <w:t>If action was not taken when warranted, a reasonable explanation is given as for why.</w:t>
            </w:r>
          </w:p>
        </w:tc>
        <w:tc>
          <w:tcPr>
            <w:tcW w:w="2790" w:type="dxa"/>
          </w:tcPr>
          <w:p w14:paraId="1BF5687A" w14:textId="75E68D7D" w:rsidR="00215E5B" w:rsidRPr="009B0228" w:rsidRDefault="00215E5B" w:rsidP="00215E5B">
            <w:pPr>
              <w:rPr>
                <w:sz w:val="20"/>
                <w:szCs w:val="20"/>
              </w:rPr>
            </w:pPr>
            <w:r>
              <w:rPr>
                <w:sz w:val="20"/>
                <w:szCs w:val="20"/>
              </w:rPr>
              <w:t xml:space="preserve">The report acknowledged receiving feedback from previous reviews and outlined a plan for implementing these suggestions. However, the changes have not been implemented.  </w:t>
            </w:r>
          </w:p>
        </w:tc>
        <w:tc>
          <w:tcPr>
            <w:tcW w:w="2610" w:type="dxa"/>
          </w:tcPr>
          <w:p w14:paraId="30B5CDFD" w14:textId="28CEE913" w:rsidR="00215E5B" w:rsidRPr="009B0228" w:rsidRDefault="00215E5B" w:rsidP="00215E5B">
            <w:pPr>
              <w:rPr>
                <w:sz w:val="20"/>
                <w:szCs w:val="20"/>
              </w:rPr>
            </w:pPr>
            <w:r>
              <w:rPr>
                <w:sz w:val="20"/>
                <w:szCs w:val="20"/>
              </w:rPr>
              <w:t xml:space="preserve">Reviewers’ feedback from previous assessment cycles was not reflected in the current report, and there is little to no explanation for why this is so.   </w:t>
            </w:r>
          </w:p>
        </w:tc>
      </w:tr>
      <w:tr w:rsidR="00215E5B" w14:paraId="04C06038" w14:textId="77777777" w:rsidTr="002D0F8D">
        <w:tc>
          <w:tcPr>
            <w:tcW w:w="2430" w:type="dxa"/>
            <w:vMerge/>
            <w:shd w:val="clear" w:color="auto" w:fill="FFFFFF" w:themeFill="background1"/>
          </w:tcPr>
          <w:p w14:paraId="6CB5252C" w14:textId="77777777" w:rsidR="00215E5B" w:rsidRPr="00CD3381" w:rsidRDefault="00215E5B" w:rsidP="00215E5B">
            <w:pPr>
              <w:rPr>
                <w:b/>
                <w:sz w:val="24"/>
                <w:szCs w:val="24"/>
              </w:rPr>
            </w:pPr>
          </w:p>
        </w:tc>
        <w:tc>
          <w:tcPr>
            <w:tcW w:w="11520" w:type="dxa"/>
            <w:gridSpan w:val="4"/>
          </w:tcPr>
          <w:p w14:paraId="7C600A28" w14:textId="77777777" w:rsidR="00215E5B" w:rsidRDefault="00215E5B" w:rsidP="00215E5B">
            <w:pPr>
              <w:rPr>
                <w:b/>
                <w:sz w:val="20"/>
                <w:szCs w:val="20"/>
                <w:u w:val="single"/>
              </w:rPr>
            </w:pPr>
            <w:r>
              <w:rPr>
                <w:b/>
                <w:sz w:val="20"/>
                <w:szCs w:val="20"/>
                <w:u w:val="single"/>
              </w:rPr>
              <w:t>Comments:</w:t>
            </w:r>
          </w:p>
          <w:p w14:paraId="0B72A66F" w14:textId="77777777" w:rsidR="00215E5B" w:rsidRDefault="00215E5B" w:rsidP="00215E5B">
            <w:pPr>
              <w:rPr>
                <w:sz w:val="20"/>
                <w:szCs w:val="20"/>
              </w:rPr>
            </w:pPr>
          </w:p>
          <w:p w14:paraId="25498750" w14:textId="77777777" w:rsidR="00215E5B" w:rsidRDefault="00215E5B" w:rsidP="00215E5B">
            <w:pPr>
              <w:rPr>
                <w:sz w:val="20"/>
                <w:szCs w:val="20"/>
              </w:rPr>
            </w:pPr>
          </w:p>
          <w:p w14:paraId="10D8C941" w14:textId="77777777" w:rsidR="00215E5B" w:rsidRDefault="00215E5B" w:rsidP="00215E5B">
            <w:pPr>
              <w:rPr>
                <w:sz w:val="20"/>
                <w:szCs w:val="20"/>
              </w:rPr>
            </w:pPr>
          </w:p>
          <w:p w14:paraId="67AD7723" w14:textId="77777777" w:rsidR="00215E5B" w:rsidRDefault="00215E5B" w:rsidP="00215E5B">
            <w:pPr>
              <w:rPr>
                <w:sz w:val="20"/>
                <w:szCs w:val="20"/>
              </w:rPr>
            </w:pPr>
          </w:p>
        </w:tc>
      </w:tr>
      <w:tr w:rsidR="00215E5B" w14:paraId="263DD51C" w14:textId="77777777" w:rsidTr="00FD6E10">
        <w:tc>
          <w:tcPr>
            <w:tcW w:w="2430" w:type="dxa"/>
            <w:vMerge w:val="restart"/>
            <w:shd w:val="clear" w:color="auto" w:fill="FFFFFF" w:themeFill="background1"/>
          </w:tcPr>
          <w:p w14:paraId="63380A66" w14:textId="77777777" w:rsidR="00215E5B" w:rsidRPr="00CD3381" w:rsidRDefault="00215E5B" w:rsidP="00215E5B">
            <w:pPr>
              <w:rPr>
                <w:b/>
                <w:sz w:val="24"/>
                <w:szCs w:val="24"/>
              </w:rPr>
            </w:pPr>
            <w:r w:rsidRPr="00CD3381">
              <w:rPr>
                <w:b/>
                <w:sz w:val="24"/>
                <w:szCs w:val="24"/>
              </w:rPr>
              <w:t>Goals &amp; Outcomes</w:t>
            </w:r>
          </w:p>
        </w:tc>
        <w:tc>
          <w:tcPr>
            <w:tcW w:w="3060" w:type="dxa"/>
            <w:shd w:val="clear" w:color="auto" w:fill="auto"/>
          </w:tcPr>
          <w:p w14:paraId="0DB18AAD" w14:textId="77777777" w:rsidR="00215E5B" w:rsidRPr="009B0228" w:rsidRDefault="00215E5B" w:rsidP="00215E5B">
            <w:pPr>
              <w:rPr>
                <w:sz w:val="20"/>
                <w:szCs w:val="20"/>
              </w:rPr>
            </w:pPr>
            <w:r w:rsidRPr="007B6C4D">
              <w:rPr>
                <w:sz w:val="20"/>
                <w:szCs w:val="20"/>
              </w:rPr>
              <w:t>Goals are clearly articulated, observable, measurable, and, in some cases, aspirational.  They are congruent with the department’s mission.</w:t>
            </w:r>
            <w:r>
              <w:rPr>
                <w:sz w:val="20"/>
                <w:szCs w:val="20"/>
              </w:rPr>
              <w:t xml:space="preserve">  Goals include outcomes that indicate expected or aspirational results.    </w:t>
            </w:r>
          </w:p>
          <w:p w14:paraId="77F3E4E3" w14:textId="23CD878C" w:rsidR="00215E5B" w:rsidRPr="009B0228" w:rsidRDefault="00215E5B" w:rsidP="00215E5B">
            <w:pPr>
              <w:rPr>
                <w:sz w:val="20"/>
                <w:szCs w:val="20"/>
              </w:rPr>
            </w:pPr>
          </w:p>
        </w:tc>
        <w:tc>
          <w:tcPr>
            <w:tcW w:w="3060" w:type="dxa"/>
            <w:shd w:val="clear" w:color="auto" w:fill="FFFFFF" w:themeFill="background1"/>
          </w:tcPr>
          <w:p w14:paraId="62A0BFA4" w14:textId="5FBCF49F" w:rsidR="00215E5B" w:rsidRPr="009B0228" w:rsidRDefault="00215E5B" w:rsidP="00215E5B">
            <w:pPr>
              <w:rPr>
                <w:sz w:val="20"/>
                <w:szCs w:val="20"/>
              </w:rPr>
            </w:pPr>
            <w:r w:rsidRPr="00FD6E10">
              <w:rPr>
                <w:sz w:val="20"/>
                <w:szCs w:val="20"/>
              </w:rPr>
              <w:t>Goals are observable and measurable, but the language of some is vague.  Each goal is appropriate to the department’s mission.</w:t>
            </w:r>
            <w:r>
              <w:rPr>
                <w:sz w:val="20"/>
                <w:szCs w:val="20"/>
              </w:rPr>
              <w:t xml:space="preserve">    The desired outcomes may lack clarity.</w:t>
            </w:r>
          </w:p>
        </w:tc>
        <w:tc>
          <w:tcPr>
            <w:tcW w:w="2790" w:type="dxa"/>
          </w:tcPr>
          <w:p w14:paraId="50C44DAD" w14:textId="77777777" w:rsidR="00215E5B" w:rsidRPr="009B0228" w:rsidRDefault="00215E5B" w:rsidP="00215E5B">
            <w:pPr>
              <w:rPr>
                <w:sz w:val="20"/>
                <w:szCs w:val="20"/>
              </w:rPr>
            </w:pPr>
            <w:r>
              <w:rPr>
                <w:sz w:val="20"/>
                <w:szCs w:val="20"/>
              </w:rPr>
              <w:t xml:space="preserve">The goals are more of an operational checklist or target than a measurable goal. As such, they are not necessarily measurable, and they may not indicate what strategic results the department aspires to achieve.  </w:t>
            </w:r>
          </w:p>
          <w:p w14:paraId="4BE4D510" w14:textId="1E91FC44" w:rsidR="00215E5B" w:rsidRPr="009B0228" w:rsidRDefault="00215E5B" w:rsidP="00215E5B">
            <w:pPr>
              <w:rPr>
                <w:sz w:val="20"/>
                <w:szCs w:val="20"/>
              </w:rPr>
            </w:pPr>
          </w:p>
        </w:tc>
        <w:tc>
          <w:tcPr>
            <w:tcW w:w="2610" w:type="dxa"/>
          </w:tcPr>
          <w:p w14:paraId="24CEA287" w14:textId="72043A7A" w:rsidR="00215E5B" w:rsidRPr="009B0228" w:rsidRDefault="00215E5B" w:rsidP="00215E5B">
            <w:pPr>
              <w:rPr>
                <w:sz w:val="20"/>
                <w:szCs w:val="20"/>
              </w:rPr>
            </w:pPr>
            <w:r>
              <w:rPr>
                <w:sz w:val="20"/>
                <w:szCs w:val="20"/>
              </w:rPr>
              <w:t xml:space="preserve">Most of the goals are unclear, not measurable, and/or inadequate for meaningful assessment.  </w:t>
            </w:r>
          </w:p>
        </w:tc>
      </w:tr>
      <w:tr w:rsidR="00215E5B" w14:paraId="5FAC2665" w14:textId="77777777" w:rsidTr="002D0F8D">
        <w:tc>
          <w:tcPr>
            <w:tcW w:w="2430" w:type="dxa"/>
            <w:vMerge/>
            <w:shd w:val="clear" w:color="auto" w:fill="FFFFFF" w:themeFill="background1"/>
          </w:tcPr>
          <w:p w14:paraId="2D255243" w14:textId="77777777" w:rsidR="00215E5B" w:rsidRPr="00CD3381" w:rsidRDefault="00215E5B" w:rsidP="00215E5B">
            <w:pPr>
              <w:rPr>
                <w:b/>
                <w:sz w:val="24"/>
                <w:szCs w:val="24"/>
              </w:rPr>
            </w:pPr>
          </w:p>
        </w:tc>
        <w:tc>
          <w:tcPr>
            <w:tcW w:w="11520" w:type="dxa"/>
            <w:gridSpan w:val="4"/>
          </w:tcPr>
          <w:p w14:paraId="0BD1ABEF" w14:textId="77777777" w:rsidR="00215E5B" w:rsidRDefault="00215E5B" w:rsidP="00215E5B">
            <w:pPr>
              <w:rPr>
                <w:b/>
                <w:sz w:val="20"/>
                <w:szCs w:val="20"/>
                <w:u w:val="single"/>
              </w:rPr>
            </w:pPr>
            <w:r>
              <w:rPr>
                <w:b/>
                <w:sz w:val="20"/>
                <w:szCs w:val="20"/>
                <w:u w:val="single"/>
              </w:rPr>
              <w:t>Comments:</w:t>
            </w:r>
          </w:p>
          <w:p w14:paraId="591FDC45" w14:textId="77777777" w:rsidR="00215E5B" w:rsidRDefault="00215E5B" w:rsidP="00215E5B">
            <w:pPr>
              <w:rPr>
                <w:sz w:val="20"/>
                <w:szCs w:val="20"/>
              </w:rPr>
            </w:pPr>
          </w:p>
          <w:p w14:paraId="097EC730" w14:textId="77777777" w:rsidR="00215E5B" w:rsidRDefault="00215E5B" w:rsidP="00215E5B">
            <w:pPr>
              <w:rPr>
                <w:sz w:val="20"/>
                <w:szCs w:val="20"/>
              </w:rPr>
            </w:pPr>
          </w:p>
        </w:tc>
      </w:tr>
      <w:tr w:rsidR="00215E5B" w14:paraId="37D8827B" w14:textId="77777777" w:rsidTr="00FD6E10">
        <w:tc>
          <w:tcPr>
            <w:tcW w:w="2430" w:type="dxa"/>
            <w:vMerge w:val="restart"/>
            <w:shd w:val="clear" w:color="auto" w:fill="FFFFFF" w:themeFill="background1"/>
          </w:tcPr>
          <w:p w14:paraId="6A49E61A" w14:textId="77777777" w:rsidR="00215E5B" w:rsidRPr="00CD3381" w:rsidRDefault="00215E5B" w:rsidP="00215E5B">
            <w:pPr>
              <w:rPr>
                <w:b/>
                <w:color w:val="FF0000"/>
                <w:sz w:val="24"/>
                <w:szCs w:val="24"/>
              </w:rPr>
            </w:pPr>
            <w:r w:rsidRPr="00CD3381">
              <w:rPr>
                <w:b/>
                <w:sz w:val="24"/>
                <w:szCs w:val="24"/>
              </w:rPr>
              <w:t>Assessment Methods and Targets</w:t>
            </w:r>
            <w:r>
              <w:rPr>
                <w:b/>
                <w:sz w:val="24"/>
                <w:szCs w:val="24"/>
              </w:rPr>
              <w:t xml:space="preserve"> </w:t>
            </w:r>
            <w:proofErr w:type="gramStart"/>
            <w:r>
              <w:rPr>
                <w:b/>
                <w:sz w:val="24"/>
                <w:szCs w:val="24"/>
              </w:rPr>
              <w:t xml:space="preserve">or  </w:t>
            </w:r>
            <w:r w:rsidRPr="00CD3381">
              <w:rPr>
                <w:b/>
                <w:sz w:val="24"/>
                <w:szCs w:val="24"/>
              </w:rPr>
              <w:t>Benchmarks</w:t>
            </w:r>
            <w:proofErr w:type="gramEnd"/>
            <w:r w:rsidRPr="00CD3381">
              <w:rPr>
                <w:b/>
                <w:sz w:val="24"/>
                <w:szCs w:val="24"/>
              </w:rPr>
              <w:t xml:space="preserve"> </w:t>
            </w:r>
          </w:p>
        </w:tc>
        <w:tc>
          <w:tcPr>
            <w:tcW w:w="3060" w:type="dxa"/>
          </w:tcPr>
          <w:p w14:paraId="300D657D" w14:textId="09379451" w:rsidR="00215E5B" w:rsidRPr="00FD6E10" w:rsidRDefault="00215E5B" w:rsidP="00215E5B">
            <w:pPr>
              <w:rPr>
                <w:sz w:val="20"/>
                <w:szCs w:val="20"/>
              </w:rPr>
            </w:pPr>
            <w:r w:rsidRPr="00FD6E10">
              <w:rPr>
                <w:sz w:val="20"/>
                <w:szCs w:val="20"/>
              </w:rPr>
              <w:t xml:space="preserve">Assessment methods are appropriate measures for each goal. </w:t>
            </w:r>
            <w:r>
              <w:rPr>
                <w:sz w:val="20"/>
                <w:szCs w:val="20"/>
              </w:rPr>
              <w:t xml:space="preserve">When it is reasonable to do so, </w:t>
            </w:r>
            <w:r w:rsidRPr="00FD6E10">
              <w:rPr>
                <w:sz w:val="20"/>
                <w:szCs w:val="20"/>
              </w:rPr>
              <w:t>multiple methods, both direct and indirect</w:t>
            </w:r>
            <w:r>
              <w:rPr>
                <w:sz w:val="20"/>
                <w:szCs w:val="20"/>
              </w:rPr>
              <w:t>, are used to measure each goal</w:t>
            </w:r>
            <w:r w:rsidRPr="00FD6E10">
              <w:rPr>
                <w:sz w:val="20"/>
                <w:szCs w:val="20"/>
              </w:rPr>
              <w:t xml:space="preserve">. </w:t>
            </w:r>
            <w:r>
              <w:rPr>
                <w:sz w:val="20"/>
                <w:szCs w:val="20"/>
              </w:rPr>
              <w:t xml:space="preserve">Methods focus on quality and effectiveness, not merely on quantity. </w:t>
            </w:r>
            <w:r w:rsidRPr="00FD6E10">
              <w:rPr>
                <w:sz w:val="20"/>
                <w:szCs w:val="20"/>
              </w:rPr>
              <w:t xml:space="preserve">Targets and/or benchmarks are clearly indicated and reflect reasonable but challenging expectations.  </w:t>
            </w:r>
          </w:p>
        </w:tc>
        <w:tc>
          <w:tcPr>
            <w:tcW w:w="3060" w:type="dxa"/>
            <w:shd w:val="clear" w:color="auto" w:fill="FFFFFF" w:themeFill="background1"/>
          </w:tcPr>
          <w:p w14:paraId="0CFB316C" w14:textId="3441A518" w:rsidR="00215E5B" w:rsidRPr="00FD6E10" w:rsidRDefault="00215E5B" w:rsidP="00215E5B">
            <w:pPr>
              <w:rPr>
                <w:sz w:val="20"/>
                <w:szCs w:val="20"/>
              </w:rPr>
            </w:pPr>
            <w:r w:rsidRPr="00FD6E10">
              <w:rPr>
                <w:sz w:val="20"/>
                <w:szCs w:val="20"/>
              </w:rPr>
              <w:t xml:space="preserve">Assessment methods are appropriate measures for each goal. </w:t>
            </w:r>
            <w:r>
              <w:rPr>
                <w:sz w:val="20"/>
                <w:szCs w:val="20"/>
              </w:rPr>
              <w:t xml:space="preserve">Methods are limited and don’t necessarily measure quality or operational effectiveness. </w:t>
            </w:r>
            <w:r w:rsidRPr="00FD6E10">
              <w:rPr>
                <w:sz w:val="20"/>
                <w:szCs w:val="20"/>
              </w:rPr>
              <w:t xml:space="preserve">Targets and/or benchmarks are identified, but it is not clear how they were determined.  </w:t>
            </w:r>
          </w:p>
        </w:tc>
        <w:tc>
          <w:tcPr>
            <w:tcW w:w="2790" w:type="dxa"/>
          </w:tcPr>
          <w:p w14:paraId="1BA3BAE1" w14:textId="55675000" w:rsidR="00215E5B" w:rsidRPr="009B0228" w:rsidRDefault="00215E5B" w:rsidP="00215E5B">
            <w:pPr>
              <w:rPr>
                <w:sz w:val="20"/>
                <w:szCs w:val="20"/>
              </w:rPr>
            </w:pPr>
            <w:r>
              <w:rPr>
                <w:sz w:val="20"/>
                <w:szCs w:val="20"/>
              </w:rPr>
              <w:t xml:space="preserve">Assessment tools are vague, non-specific, or poorly defined. There is no apparent relationship between the goals and the assessment methods, or not appropriate to the goal.  Targets/benchmarks not indicated.  </w:t>
            </w:r>
          </w:p>
        </w:tc>
        <w:tc>
          <w:tcPr>
            <w:tcW w:w="2610" w:type="dxa"/>
          </w:tcPr>
          <w:p w14:paraId="7344F784" w14:textId="7774F85F" w:rsidR="00215E5B" w:rsidRPr="009B0228" w:rsidRDefault="00215E5B" w:rsidP="00215E5B">
            <w:pPr>
              <w:rPr>
                <w:sz w:val="20"/>
                <w:szCs w:val="20"/>
              </w:rPr>
            </w:pPr>
            <w:r>
              <w:rPr>
                <w:sz w:val="20"/>
                <w:szCs w:val="20"/>
              </w:rPr>
              <w:t>It is unclear what the assessment methods are.</w:t>
            </w:r>
          </w:p>
        </w:tc>
      </w:tr>
      <w:tr w:rsidR="00215E5B" w14:paraId="0DC8B3B1" w14:textId="77777777" w:rsidTr="002D0F8D">
        <w:tc>
          <w:tcPr>
            <w:tcW w:w="2430" w:type="dxa"/>
            <w:vMerge/>
            <w:shd w:val="clear" w:color="auto" w:fill="FFFFFF" w:themeFill="background1"/>
          </w:tcPr>
          <w:p w14:paraId="08128885" w14:textId="77777777" w:rsidR="00215E5B" w:rsidRPr="00CD3381" w:rsidRDefault="00215E5B" w:rsidP="00215E5B">
            <w:pPr>
              <w:rPr>
                <w:b/>
                <w:sz w:val="24"/>
                <w:szCs w:val="24"/>
              </w:rPr>
            </w:pPr>
          </w:p>
        </w:tc>
        <w:tc>
          <w:tcPr>
            <w:tcW w:w="11520" w:type="dxa"/>
            <w:gridSpan w:val="4"/>
          </w:tcPr>
          <w:p w14:paraId="4A0C1601" w14:textId="77777777" w:rsidR="00215E5B" w:rsidRDefault="00215E5B" w:rsidP="00215E5B">
            <w:pPr>
              <w:rPr>
                <w:b/>
                <w:sz w:val="20"/>
                <w:szCs w:val="20"/>
                <w:u w:val="single"/>
              </w:rPr>
            </w:pPr>
            <w:r>
              <w:rPr>
                <w:b/>
                <w:sz w:val="20"/>
                <w:szCs w:val="20"/>
                <w:u w:val="single"/>
              </w:rPr>
              <w:t>Comments:</w:t>
            </w:r>
          </w:p>
          <w:p w14:paraId="4CB50D56" w14:textId="77777777" w:rsidR="00215E5B" w:rsidRDefault="00215E5B" w:rsidP="00215E5B">
            <w:pPr>
              <w:rPr>
                <w:sz w:val="20"/>
                <w:szCs w:val="20"/>
              </w:rPr>
            </w:pPr>
          </w:p>
          <w:p w14:paraId="5FF8159D" w14:textId="77777777" w:rsidR="00215E5B" w:rsidRDefault="00215E5B" w:rsidP="00215E5B">
            <w:pPr>
              <w:rPr>
                <w:sz w:val="20"/>
                <w:szCs w:val="20"/>
              </w:rPr>
            </w:pPr>
          </w:p>
          <w:p w14:paraId="4B621B93" w14:textId="77777777" w:rsidR="00215E5B" w:rsidRDefault="00215E5B" w:rsidP="00215E5B">
            <w:pPr>
              <w:rPr>
                <w:sz w:val="20"/>
                <w:szCs w:val="20"/>
              </w:rPr>
            </w:pPr>
          </w:p>
        </w:tc>
      </w:tr>
      <w:tr w:rsidR="00215E5B" w14:paraId="298F2568" w14:textId="77777777" w:rsidTr="00FD6E10">
        <w:tc>
          <w:tcPr>
            <w:tcW w:w="2430" w:type="dxa"/>
            <w:vMerge w:val="restart"/>
            <w:shd w:val="clear" w:color="auto" w:fill="FFFFFF" w:themeFill="background1"/>
          </w:tcPr>
          <w:p w14:paraId="67A2463F" w14:textId="77777777" w:rsidR="00215E5B" w:rsidRPr="00CD3381" w:rsidRDefault="00215E5B" w:rsidP="00215E5B">
            <w:pPr>
              <w:rPr>
                <w:b/>
                <w:sz w:val="24"/>
                <w:szCs w:val="24"/>
              </w:rPr>
            </w:pPr>
            <w:r w:rsidRPr="00CD3381">
              <w:rPr>
                <w:b/>
                <w:sz w:val="24"/>
                <w:szCs w:val="24"/>
              </w:rPr>
              <w:t>Analysis of Assessment Results</w:t>
            </w:r>
          </w:p>
        </w:tc>
        <w:tc>
          <w:tcPr>
            <w:tcW w:w="3060" w:type="dxa"/>
            <w:shd w:val="clear" w:color="auto" w:fill="auto"/>
          </w:tcPr>
          <w:p w14:paraId="576DBA86" w14:textId="55C24D73" w:rsidR="00215E5B" w:rsidRPr="009B0228" w:rsidRDefault="00215E5B" w:rsidP="00215E5B">
            <w:pPr>
              <w:rPr>
                <w:sz w:val="20"/>
                <w:szCs w:val="20"/>
              </w:rPr>
            </w:pPr>
            <w:r>
              <w:rPr>
                <w:sz w:val="20"/>
                <w:szCs w:val="20"/>
              </w:rPr>
              <w:t xml:space="preserve">Clear and substantial evidence is presented that indicates </w:t>
            </w:r>
            <w:proofErr w:type="gramStart"/>
            <w:r>
              <w:rPr>
                <w:sz w:val="20"/>
                <w:szCs w:val="20"/>
              </w:rPr>
              <w:t>whether or not</w:t>
            </w:r>
            <w:proofErr w:type="gramEnd"/>
            <w:r>
              <w:rPr>
                <w:sz w:val="20"/>
                <w:szCs w:val="20"/>
              </w:rPr>
              <w:t xml:space="preserve"> the goals were achieved.  Findings are specific enough to be meaningful, and a clear, succinct analysis, interpretation of, and reflection on the results are included.  Trends or patterns over time are discussed. The analysis is shared with and discussed by all appropriate members of the department or other key stakeholders.  Supporting evidence is attached.  </w:t>
            </w:r>
          </w:p>
        </w:tc>
        <w:tc>
          <w:tcPr>
            <w:tcW w:w="3060" w:type="dxa"/>
          </w:tcPr>
          <w:p w14:paraId="27998624" w14:textId="1A222519" w:rsidR="00215E5B" w:rsidRPr="009B0228" w:rsidRDefault="00215E5B" w:rsidP="00215E5B">
            <w:pPr>
              <w:rPr>
                <w:sz w:val="20"/>
                <w:szCs w:val="20"/>
              </w:rPr>
            </w:pPr>
            <w:r>
              <w:rPr>
                <w:sz w:val="20"/>
                <w:szCs w:val="20"/>
              </w:rPr>
              <w:t xml:space="preserve">Well-organized results are presented, but it is not entirely clear how the results have been interpreted or what they mean to the department.  Trends or patterns, even when appropriate, are not noted. Supporting evidence is included.   </w:t>
            </w:r>
          </w:p>
        </w:tc>
        <w:tc>
          <w:tcPr>
            <w:tcW w:w="2790" w:type="dxa"/>
            <w:shd w:val="clear" w:color="auto" w:fill="FFFFFF" w:themeFill="background1"/>
          </w:tcPr>
          <w:p w14:paraId="47BBD64A" w14:textId="2AF5EE46" w:rsidR="00215E5B" w:rsidRPr="009B0228" w:rsidRDefault="00215E5B" w:rsidP="00215E5B">
            <w:pPr>
              <w:rPr>
                <w:sz w:val="20"/>
                <w:szCs w:val="20"/>
              </w:rPr>
            </w:pPr>
            <w:r w:rsidRPr="00FD6E10">
              <w:rPr>
                <w:sz w:val="20"/>
                <w:szCs w:val="20"/>
              </w:rPr>
              <w:t>Results are reported, but they are too summative or general to be meaningful.</w:t>
            </w:r>
            <w:r>
              <w:rPr>
                <w:sz w:val="20"/>
                <w:szCs w:val="20"/>
              </w:rPr>
              <w:t xml:space="preserve">  There is little analysis of findings, and no interpretation is provided.  Little supporting evidence is included.  </w:t>
            </w:r>
          </w:p>
        </w:tc>
        <w:tc>
          <w:tcPr>
            <w:tcW w:w="2610" w:type="dxa"/>
          </w:tcPr>
          <w:p w14:paraId="0C18AC1A" w14:textId="37C2C421" w:rsidR="00215E5B" w:rsidRPr="009B0228" w:rsidRDefault="00215E5B" w:rsidP="00215E5B">
            <w:pPr>
              <w:rPr>
                <w:sz w:val="20"/>
                <w:szCs w:val="20"/>
              </w:rPr>
            </w:pPr>
            <w:r>
              <w:rPr>
                <w:sz w:val="20"/>
                <w:szCs w:val="20"/>
              </w:rPr>
              <w:t>No evidence of assessment results is reported, or the evidence is so general and so brief, it does not report anything meaningful.</w:t>
            </w:r>
          </w:p>
        </w:tc>
      </w:tr>
      <w:tr w:rsidR="00215E5B" w14:paraId="3389457A" w14:textId="77777777" w:rsidTr="002D0F8D">
        <w:tc>
          <w:tcPr>
            <w:tcW w:w="2430" w:type="dxa"/>
            <w:vMerge/>
            <w:shd w:val="clear" w:color="auto" w:fill="FFFFFF" w:themeFill="background1"/>
          </w:tcPr>
          <w:p w14:paraId="739AD6F4" w14:textId="77777777" w:rsidR="00215E5B" w:rsidRPr="00CD3381" w:rsidRDefault="00215E5B" w:rsidP="00215E5B">
            <w:pPr>
              <w:rPr>
                <w:b/>
                <w:sz w:val="24"/>
                <w:szCs w:val="24"/>
              </w:rPr>
            </w:pPr>
          </w:p>
        </w:tc>
        <w:tc>
          <w:tcPr>
            <w:tcW w:w="11520" w:type="dxa"/>
            <w:gridSpan w:val="4"/>
          </w:tcPr>
          <w:p w14:paraId="1635361F" w14:textId="77777777" w:rsidR="00215E5B" w:rsidRDefault="00215E5B" w:rsidP="00215E5B">
            <w:pPr>
              <w:rPr>
                <w:b/>
                <w:sz w:val="20"/>
                <w:szCs w:val="20"/>
                <w:u w:val="single"/>
              </w:rPr>
            </w:pPr>
            <w:r>
              <w:rPr>
                <w:b/>
                <w:sz w:val="20"/>
                <w:szCs w:val="20"/>
                <w:u w:val="single"/>
              </w:rPr>
              <w:t>Comments:</w:t>
            </w:r>
          </w:p>
          <w:p w14:paraId="1269F0E5" w14:textId="77777777" w:rsidR="00215E5B" w:rsidRDefault="00215E5B" w:rsidP="00215E5B">
            <w:pPr>
              <w:rPr>
                <w:sz w:val="20"/>
                <w:szCs w:val="20"/>
              </w:rPr>
            </w:pPr>
          </w:p>
          <w:p w14:paraId="054B4C6C" w14:textId="77777777" w:rsidR="00215E5B" w:rsidRDefault="00215E5B" w:rsidP="00215E5B">
            <w:pPr>
              <w:rPr>
                <w:sz w:val="20"/>
                <w:szCs w:val="20"/>
              </w:rPr>
            </w:pPr>
          </w:p>
          <w:p w14:paraId="34BF8CCC" w14:textId="77777777" w:rsidR="00215E5B" w:rsidRDefault="00215E5B" w:rsidP="00215E5B">
            <w:pPr>
              <w:rPr>
                <w:sz w:val="20"/>
                <w:szCs w:val="20"/>
              </w:rPr>
            </w:pPr>
          </w:p>
        </w:tc>
      </w:tr>
      <w:tr w:rsidR="00215E5B" w14:paraId="6642B9E0" w14:textId="77777777" w:rsidTr="00FD6E10">
        <w:tc>
          <w:tcPr>
            <w:tcW w:w="2430" w:type="dxa"/>
            <w:vMerge w:val="restart"/>
            <w:shd w:val="clear" w:color="auto" w:fill="FFFFFF" w:themeFill="background1"/>
          </w:tcPr>
          <w:p w14:paraId="343B2B38" w14:textId="77777777" w:rsidR="00215E5B" w:rsidRPr="00CD3381" w:rsidRDefault="00215E5B" w:rsidP="00215E5B">
            <w:pPr>
              <w:rPr>
                <w:b/>
                <w:color w:val="FF0000"/>
                <w:sz w:val="24"/>
                <w:szCs w:val="24"/>
              </w:rPr>
            </w:pPr>
            <w:r w:rsidRPr="00CD3381">
              <w:rPr>
                <w:b/>
                <w:sz w:val="24"/>
                <w:szCs w:val="24"/>
              </w:rPr>
              <w:t>Action Plans: Using Assessment Results</w:t>
            </w:r>
          </w:p>
        </w:tc>
        <w:tc>
          <w:tcPr>
            <w:tcW w:w="3060" w:type="dxa"/>
          </w:tcPr>
          <w:p w14:paraId="0A718D31" w14:textId="77777777" w:rsidR="00215E5B" w:rsidRDefault="00215E5B" w:rsidP="00215E5B">
            <w:pPr>
              <w:rPr>
                <w:sz w:val="20"/>
                <w:szCs w:val="20"/>
              </w:rPr>
            </w:pPr>
            <w:r>
              <w:rPr>
                <w:sz w:val="20"/>
                <w:szCs w:val="20"/>
              </w:rPr>
              <w:t xml:space="preserve">Identifies key areas that require attention and defines next steps.  Action plans are directly linked to assessment findings and reflect what was learned through the </w:t>
            </w:r>
            <w:r>
              <w:rPr>
                <w:sz w:val="20"/>
                <w:szCs w:val="20"/>
              </w:rPr>
              <w:lastRenderedPageBreak/>
              <w:t xml:space="preserve">assessment process. All or most departmental members are involved in planning, and plans are shared with stakeholders.  </w:t>
            </w:r>
          </w:p>
          <w:p w14:paraId="414244BA" w14:textId="77777777" w:rsidR="00215E5B" w:rsidRDefault="00215E5B" w:rsidP="00215E5B">
            <w:pPr>
              <w:rPr>
                <w:sz w:val="20"/>
                <w:szCs w:val="20"/>
              </w:rPr>
            </w:pPr>
          </w:p>
          <w:p w14:paraId="5CF5CB46" w14:textId="265368B1" w:rsidR="00215E5B" w:rsidRPr="009B0228" w:rsidRDefault="00215E5B" w:rsidP="00215E5B">
            <w:pPr>
              <w:rPr>
                <w:sz w:val="20"/>
                <w:szCs w:val="20"/>
              </w:rPr>
            </w:pPr>
            <w:r>
              <w:rPr>
                <w:sz w:val="20"/>
                <w:szCs w:val="20"/>
              </w:rPr>
              <w:t xml:space="preserve">If no changes are reported or necessary, an explanation is provided.  </w:t>
            </w:r>
          </w:p>
        </w:tc>
        <w:tc>
          <w:tcPr>
            <w:tcW w:w="3060" w:type="dxa"/>
            <w:shd w:val="clear" w:color="auto" w:fill="FFFFFF" w:themeFill="background1"/>
          </w:tcPr>
          <w:p w14:paraId="5C8424A7" w14:textId="68E40EF6" w:rsidR="00215E5B" w:rsidRPr="009B0228" w:rsidRDefault="00215E5B" w:rsidP="00215E5B">
            <w:pPr>
              <w:rPr>
                <w:sz w:val="20"/>
                <w:szCs w:val="20"/>
              </w:rPr>
            </w:pPr>
            <w:r w:rsidRPr="00FD6E10">
              <w:rPr>
                <w:sz w:val="20"/>
                <w:szCs w:val="20"/>
              </w:rPr>
              <w:lastRenderedPageBreak/>
              <w:t>Identifies key areas that require attention</w:t>
            </w:r>
            <w:r>
              <w:rPr>
                <w:sz w:val="20"/>
                <w:szCs w:val="20"/>
              </w:rPr>
              <w:t xml:space="preserve"> and </w:t>
            </w:r>
            <w:proofErr w:type="gramStart"/>
            <w:r>
              <w:rPr>
                <w:sz w:val="20"/>
                <w:szCs w:val="20"/>
              </w:rPr>
              <w:t>indicated</w:t>
            </w:r>
            <w:proofErr w:type="gramEnd"/>
            <w:r>
              <w:rPr>
                <w:sz w:val="20"/>
                <w:szCs w:val="20"/>
              </w:rPr>
              <w:t xml:space="preserve"> internal solutions to address continuous improvement.  </w:t>
            </w:r>
            <w:proofErr w:type="gramStart"/>
            <w:r>
              <w:rPr>
                <w:sz w:val="20"/>
                <w:szCs w:val="20"/>
              </w:rPr>
              <w:t>Action</w:t>
            </w:r>
            <w:proofErr w:type="gramEnd"/>
            <w:r>
              <w:rPr>
                <w:sz w:val="20"/>
                <w:szCs w:val="20"/>
              </w:rPr>
              <w:t xml:space="preserve"> plan may be overly broad or too general.  No </w:t>
            </w:r>
            <w:r>
              <w:rPr>
                <w:sz w:val="20"/>
                <w:szCs w:val="20"/>
              </w:rPr>
              <w:lastRenderedPageBreak/>
              <w:t xml:space="preserve">explanation provided when </w:t>
            </w:r>
            <w:proofErr w:type="gramStart"/>
            <w:r>
              <w:rPr>
                <w:sz w:val="20"/>
                <w:szCs w:val="20"/>
              </w:rPr>
              <w:t>report</w:t>
            </w:r>
            <w:proofErr w:type="gramEnd"/>
            <w:r>
              <w:rPr>
                <w:sz w:val="20"/>
                <w:szCs w:val="20"/>
              </w:rPr>
              <w:t xml:space="preserve"> concludes that no action is required.   </w:t>
            </w:r>
          </w:p>
        </w:tc>
        <w:tc>
          <w:tcPr>
            <w:tcW w:w="2790" w:type="dxa"/>
          </w:tcPr>
          <w:p w14:paraId="547F0DE8" w14:textId="101EEA35" w:rsidR="00215E5B" w:rsidRPr="009B0228" w:rsidRDefault="00215E5B" w:rsidP="00215E5B">
            <w:pPr>
              <w:rPr>
                <w:sz w:val="20"/>
                <w:szCs w:val="20"/>
              </w:rPr>
            </w:pPr>
            <w:r>
              <w:rPr>
                <w:sz w:val="20"/>
                <w:szCs w:val="20"/>
              </w:rPr>
              <w:lastRenderedPageBreak/>
              <w:t xml:space="preserve">Does not describe what was learned during the assessment process.  Identifies one or two items for improvement, but </w:t>
            </w:r>
            <w:r>
              <w:rPr>
                <w:sz w:val="20"/>
                <w:szCs w:val="20"/>
              </w:rPr>
              <w:lastRenderedPageBreak/>
              <w:t>these are not supported by assessment findings.</w:t>
            </w:r>
          </w:p>
        </w:tc>
        <w:tc>
          <w:tcPr>
            <w:tcW w:w="2610" w:type="dxa"/>
          </w:tcPr>
          <w:p w14:paraId="2945650F" w14:textId="0D0BA9E1" w:rsidR="00215E5B" w:rsidRPr="009B0228" w:rsidRDefault="00215E5B" w:rsidP="00215E5B">
            <w:pPr>
              <w:rPr>
                <w:sz w:val="20"/>
                <w:szCs w:val="20"/>
              </w:rPr>
            </w:pPr>
            <w:r>
              <w:rPr>
                <w:sz w:val="20"/>
                <w:szCs w:val="20"/>
              </w:rPr>
              <w:lastRenderedPageBreak/>
              <w:t xml:space="preserve">The report does not demonstrate that the department is using assessment findings to </w:t>
            </w:r>
            <w:r>
              <w:rPr>
                <w:sz w:val="20"/>
                <w:szCs w:val="20"/>
              </w:rPr>
              <w:lastRenderedPageBreak/>
              <w:t xml:space="preserve">inform planning or continuous improvement.  </w:t>
            </w:r>
          </w:p>
        </w:tc>
      </w:tr>
      <w:tr w:rsidR="00215E5B" w14:paraId="20ACF18A" w14:textId="77777777" w:rsidTr="002D0F8D">
        <w:tc>
          <w:tcPr>
            <w:tcW w:w="2430" w:type="dxa"/>
            <w:vMerge/>
            <w:shd w:val="clear" w:color="auto" w:fill="FFFFFF" w:themeFill="background1"/>
          </w:tcPr>
          <w:p w14:paraId="28E1C6E1" w14:textId="77777777" w:rsidR="00215E5B" w:rsidRPr="00CD3381" w:rsidRDefault="00215E5B" w:rsidP="00215E5B">
            <w:pPr>
              <w:rPr>
                <w:b/>
                <w:sz w:val="24"/>
                <w:szCs w:val="24"/>
              </w:rPr>
            </w:pPr>
          </w:p>
        </w:tc>
        <w:tc>
          <w:tcPr>
            <w:tcW w:w="11520" w:type="dxa"/>
            <w:gridSpan w:val="4"/>
          </w:tcPr>
          <w:p w14:paraId="78976CEB" w14:textId="77777777" w:rsidR="00215E5B" w:rsidRDefault="00215E5B" w:rsidP="00215E5B">
            <w:pPr>
              <w:rPr>
                <w:b/>
                <w:sz w:val="20"/>
                <w:szCs w:val="20"/>
                <w:u w:val="single"/>
              </w:rPr>
            </w:pPr>
            <w:r>
              <w:rPr>
                <w:b/>
                <w:sz w:val="20"/>
                <w:szCs w:val="20"/>
                <w:u w:val="single"/>
              </w:rPr>
              <w:t>Comments:</w:t>
            </w:r>
          </w:p>
          <w:p w14:paraId="643A62A3" w14:textId="77777777" w:rsidR="00215E5B" w:rsidRDefault="00215E5B" w:rsidP="00215E5B">
            <w:pPr>
              <w:rPr>
                <w:sz w:val="20"/>
                <w:szCs w:val="20"/>
              </w:rPr>
            </w:pPr>
          </w:p>
          <w:p w14:paraId="2EE6FD61" w14:textId="77777777" w:rsidR="00215E5B" w:rsidRDefault="00215E5B" w:rsidP="00215E5B">
            <w:pPr>
              <w:rPr>
                <w:sz w:val="20"/>
                <w:szCs w:val="20"/>
              </w:rPr>
            </w:pPr>
          </w:p>
          <w:p w14:paraId="6E9336DF" w14:textId="77777777" w:rsidR="00215E5B" w:rsidRDefault="00215E5B" w:rsidP="00215E5B">
            <w:pPr>
              <w:rPr>
                <w:sz w:val="20"/>
                <w:szCs w:val="20"/>
              </w:rPr>
            </w:pPr>
          </w:p>
        </w:tc>
      </w:tr>
    </w:tbl>
    <w:p w14:paraId="25BAFD99" w14:textId="77777777" w:rsidR="00B243D7" w:rsidRDefault="00B243D7" w:rsidP="001408B2">
      <w:pPr>
        <w:rPr>
          <w:b/>
          <w:sz w:val="24"/>
          <w:szCs w:val="24"/>
        </w:rPr>
      </w:pPr>
      <w:r>
        <w:rPr>
          <w:b/>
          <w:sz w:val="24"/>
          <w:szCs w:val="24"/>
        </w:rPr>
        <w:t xml:space="preserve"> </w:t>
      </w:r>
    </w:p>
    <w:p w14:paraId="119F8E7B" w14:textId="77777777" w:rsidR="008765CD" w:rsidRDefault="008765CD" w:rsidP="001408B2">
      <w:pPr>
        <w:rPr>
          <w:b/>
          <w:sz w:val="24"/>
          <w:szCs w:val="24"/>
        </w:rPr>
      </w:pPr>
      <w:r>
        <w:rPr>
          <w:b/>
          <w:sz w:val="24"/>
          <w:szCs w:val="24"/>
        </w:rPr>
        <w:t xml:space="preserve">Recommendations: </w:t>
      </w:r>
    </w:p>
    <w:p w14:paraId="3129CB7E" w14:textId="77777777" w:rsidR="00017872" w:rsidRPr="00FD6E10" w:rsidRDefault="00017872" w:rsidP="00FD6E10">
      <w:pPr>
        <w:rPr>
          <w:sz w:val="24"/>
          <w:szCs w:val="24"/>
        </w:rPr>
      </w:pPr>
    </w:p>
    <w:sectPr w:rsidR="00017872" w:rsidRPr="00FD6E10" w:rsidSect="00D76D68">
      <w:footerReference w:type="default" r:id="rId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FCE7" w14:textId="77777777" w:rsidR="002C2DA5" w:rsidRDefault="002C2DA5" w:rsidP="008C30CD">
      <w:pPr>
        <w:spacing w:after="0" w:line="240" w:lineRule="auto"/>
      </w:pPr>
      <w:r>
        <w:separator/>
      </w:r>
    </w:p>
  </w:endnote>
  <w:endnote w:type="continuationSeparator" w:id="0">
    <w:p w14:paraId="7BC39FD1" w14:textId="77777777" w:rsidR="002C2DA5" w:rsidRDefault="002C2DA5" w:rsidP="008C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8316" w14:textId="6EEA371E" w:rsidR="00215E5B" w:rsidRDefault="00215E5B">
    <w:pPr>
      <w:pStyle w:val="Footer"/>
    </w:pPr>
    <w:r>
      <w:t>Revised October 2023</w:t>
    </w:r>
  </w:p>
  <w:p w14:paraId="121274E3" w14:textId="77777777" w:rsidR="008C30CD" w:rsidRDefault="008C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6D34" w14:textId="77777777" w:rsidR="002C2DA5" w:rsidRDefault="002C2DA5" w:rsidP="008C30CD">
      <w:pPr>
        <w:spacing w:after="0" w:line="240" w:lineRule="auto"/>
      </w:pPr>
      <w:r>
        <w:separator/>
      </w:r>
    </w:p>
  </w:footnote>
  <w:footnote w:type="continuationSeparator" w:id="0">
    <w:p w14:paraId="6C91B0B6" w14:textId="77777777" w:rsidR="002C2DA5" w:rsidRDefault="002C2DA5" w:rsidP="008C3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55134"/>
    <w:multiLevelType w:val="hybridMultilevel"/>
    <w:tmpl w:val="E9503898"/>
    <w:lvl w:ilvl="0" w:tplc="9A426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77362"/>
    <w:multiLevelType w:val="hybridMultilevel"/>
    <w:tmpl w:val="81D4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E4953"/>
    <w:multiLevelType w:val="hybridMultilevel"/>
    <w:tmpl w:val="5996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94499">
    <w:abstractNumId w:val="0"/>
  </w:num>
  <w:num w:numId="2" w16cid:durableId="36206028">
    <w:abstractNumId w:val="2"/>
  </w:num>
  <w:num w:numId="3" w16cid:durableId="195856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28"/>
    <w:rsid w:val="00017872"/>
    <w:rsid w:val="00064FEC"/>
    <w:rsid w:val="000729E2"/>
    <w:rsid w:val="000F58AC"/>
    <w:rsid w:val="001408B2"/>
    <w:rsid w:val="001C3A31"/>
    <w:rsid w:val="00215E5B"/>
    <w:rsid w:val="002232B0"/>
    <w:rsid w:val="00237034"/>
    <w:rsid w:val="002A0F1D"/>
    <w:rsid w:val="002B5FE3"/>
    <w:rsid w:val="002C2DA5"/>
    <w:rsid w:val="002D0F8D"/>
    <w:rsid w:val="002F7D21"/>
    <w:rsid w:val="0031680B"/>
    <w:rsid w:val="0036457E"/>
    <w:rsid w:val="004C5125"/>
    <w:rsid w:val="004D5656"/>
    <w:rsid w:val="004F7474"/>
    <w:rsid w:val="005662D7"/>
    <w:rsid w:val="00573EDD"/>
    <w:rsid w:val="005A4179"/>
    <w:rsid w:val="005C6881"/>
    <w:rsid w:val="00604B7E"/>
    <w:rsid w:val="00617755"/>
    <w:rsid w:val="00622F2B"/>
    <w:rsid w:val="00637D01"/>
    <w:rsid w:val="006B0D32"/>
    <w:rsid w:val="007B6C4D"/>
    <w:rsid w:val="0085779E"/>
    <w:rsid w:val="00866778"/>
    <w:rsid w:val="008759F6"/>
    <w:rsid w:val="008765CD"/>
    <w:rsid w:val="0088139B"/>
    <w:rsid w:val="00890F46"/>
    <w:rsid w:val="00896DBC"/>
    <w:rsid w:val="008970BC"/>
    <w:rsid w:val="008C30CD"/>
    <w:rsid w:val="008E1FE5"/>
    <w:rsid w:val="009B0228"/>
    <w:rsid w:val="009E6036"/>
    <w:rsid w:val="00A03A17"/>
    <w:rsid w:val="00A3745D"/>
    <w:rsid w:val="00A404E5"/>
    <w:rsid w:val="00A749E4"/>
    <w:rsid w:val="00B243D7"/>
    <w:rsid w:val="00BC7B5F"/>
    <w:rsid w:val="00BE0BC3"/>
    <w:rsid w:val="00C33396"/>
    <w:rsid w:val="00C42A44"/>
    <w:rsid w:val="00C76183"/>
    <w:rsid w:val="00CB3D88"/>
    <w:rsid w:val="00CD3381"/>
    <w:rsid w:val="00CD3F2E"/>
    <w:rsid w:val="00D52D10"/>
    <w:rsid w:val="00D76D68"/>
    <w:rsid w:val="00DB5CD0"/>
    <w:rsid w:val="00EB1494"/>
    <w:rsid w:val="00F21530"/>
    <w:rsid w:val="00F4363C"/>
    <w:rsid w:val="00F4537F"/>
    <w:rsid w:val="00FD1D15"/>
    <w:rsid w:val="00FD6E10"/>
    <w:rsid w:val="00FF09BF"/>
    <w:rsid w:val="00FF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B09A"/>
  <w15:chartTrackingRefBased/>
  <w15:docId w15:val="{232CA4A9-02D6-41F2-9E9B-22908239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2D7"/>
    <w:pPr>
      <w:ind w:left="720"/>
      <w:contextualSpacing/>
    </w:pPr>
  </w:style>
  <w:style w:type="paragraph" w:styleId="Header">
    <w:name w:val="header"/>
    <w:basedOn w:val="Normal"/>
    <w:link w:val="HeaderChar"/>
    <w:uiPriority w:val="99"/>
    <w:unhideWhenUsed/>
    <w:rsid w:val="008C3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0CD"/>
  </w:style>
  <w:style w:type="paragraph" w:styleId="Footer">
    <w:name w:val="footer"/>
    <w:basedOn w:val="Normal"/>
    <w:link w:val="FooterChar"/>
    <w:uiPriority w:val="99"/>
    <w:unhideWhenUsed/>
    <w:rsid w:val="008C3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0CD"/>
  </w:style>
  <w:style w:type="paragraph" w:styleId="BalloonText">
    <w:name w:val="Balloon Text"/>
    <w:basedOn w:val="Normal"/>
    <w:link w:val="BalloonTextChar"/>
    <w:uiPriority w:val="99"/>
    <w:semiHidden/>
    <w:unhideWhenUsed/>
    <w:rsid w:val="00DB5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014F556-5C81-4306-8521-83FD46EE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Utica College</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aedamian</cp:lastModifiedBy>
  <cp:revision>2</cp:revision>
  <cp:lastPrinted>2022-07-13T19:58:00Z</cp:lastPrinted>
  <dcterms:created xsi:type="dcterms:W3CDTF">2023-10-20T15:10:00Z</dcterms:created>
  <dcterms:modified xsi:type="dcterms:W3CDTF">2023-10-20T15:10:00Z</dcterms:modified>
</cp:coreProperties>
</file>